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ZK2 2019 77 vom 19. Dezember 2019</w:t>
      </w:r>
    </w:p>
    <w:p>
      <w:r>
        <w:t>GR Gerichte, 2019-12-19, DE</w:t>
      </w:r>
    </w:p>
    <w:p>
      <w:r>
        <w:rPr>
          <w:b/>
        </w:rPr>
        <w:t xml:space="preserve">Quelle: </w:t>
      </w:r>
      <w:r>
        <w:t>https://mcp.opencaselaw.ch/entscheid/gr_gerichte_ZK2 2019 77</w:t>
      </w:r>
    </w:p>
    <w:p>
      <w:r>
        <w:t>FR: GR_GERICHTE ZK2 2019 77 du 19 décembre 2019</w:t>
      </w:r>
    </w:p>
    <w:p>
      <w:r>
        <w:t>IT: GR_GERICHTE ZK2 2019 77 del 19 dicembre 2019</w:t>
      </w:r>
    </w:p>
    <w:p>
      <w:pPr>
        <w:pStyle w:val="Heading2"/>
      </w:pPr>
      <w:r>
        <w:t>Regeste</w:t>
      </w:r>
    </w:p>
    <w:p>
      <w:r>
        <w:t>Prämien nach KVG | Berufung übrige Fälle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/ 18 9. Für das Rechtsmittelverfahren wird die Berufungsklägerin ebenfalls kosten- pflichtig (Art. 106 Abs. 1 ZPO), zumal ihr Gesuch um Gewährung der unentgeltli- chen Rechtspflege mit Verfügung des Vorsitzenden der II. Zivilkammer des Kan- tonsgerichts vom 19. Dezember 2019 abgewiesen wurde (ZK2 19 83). 9.1. Die Kosten des Berufungsverfahrens werden in Anwendung von Art. 9 der Verordnung über die Gerichtsgebühren in Zivilverfahren (VGZ; BR 320.210) auf CHF 5'000.00 festgesetzt. 9.2. Die Berufungsbeklagte beantragt schliesslich die Zusprechung einer Partei- enentschädigung nach Ermessen des Kantonsgerichts. Die Berufungsbeklagte wurde im Berufungsverfahren nicht berufsmässig im Sinne von Art. 95 Abs. 3 lit b ZPO vertreten, sondern durch einen Angestellten ihres Rechtsdienstes. Geschul- det ist daher allenfalls eine Umtriebsentschädigung im Sinne von Art. 95 Abs. 3 lit. c ZPO (vgl. Benedikt A. Suter/Cristina von Holzen, in: Sutter- Somm/Hasenböhler/Leuenberger, Kommentar zur Schweizerischen Zivilprozess- ordnung [ZPO], 3. Aufl., Zürich/Basel/Genf 2016, N 42 zu Art. 95 ZPO; Viktor Rüegg/Michael Rüegg, a.a.O., N 21 zu Art. 95 ZPO; Urteil des Kantonsgerichts ZK2 11 23 vom 28. März 2013 E. 12.c). Tritt ein Anwalt in eigener Sache auf, wird ihm nicht der normale Anwaltstarif zugesprochen, sondern eine Umtriebsentschä- digung ex aequo et bono. Dies gilt auch, wenn ein Anwalt als Organ oder als An- gestellter (namentlich der Rechtsabteilung) eine juristische Person vertritt (vgl. Benedikt A. Suter/Cristina von Holzen, a.a.O., N 41 zu Art. 95 ZPO). Aufgabe der ansprechenden Partei ist es, die Entschädigung zu beantragen und dem Gericht sachlich überzeugende Gründe für die geltend gemachte Höhe der Umtriebsentschädigung vorzulegen (Viktor Rüegg/Michael Rüegg, a.a.O., N 21 zu Art. 95 ZPO). Die Berufungsbeklagte hat vorliegend zwar eine Entschädigung nach Ermessen beantragt, zur Begründung aber lediglich ausgeführt, der zeitliche Aufwand für die vorliegende Berufungsantwort sei erheblich gewesen. Die Beru- fung erweise sich inhaltlich als derart grundlos, dass die Berufungsklägerin zur Bezahlung einer angemessenen Parteientschädigung zu verpflichten sei. Es gilt vorliegend zu berücksichtigen, dass die Berufungsantwort der Y._____ le- diglich fünf Seiten umfasst (das Titelblatt mit einberechnet), weshalb allein schon deshalb nicht von einem erheblichen Aufwand ausgegangen werden kann. Unter Berücksichtigung der notwendigen Verrichtungen, der sich stellenden Sach- und Rechtsfragen gelangt die II. Zivilkammer des Kantonsgerichts zum Schluss, dass eine Umtriebsentschädigung von pauschal Fr. 500.-- (inklusive Barauslagen) an- gemessen erscheint.</w:t>
      </w:r>
    </w:p>
    <w:p>
      <w:r>
        <w:rPr>
          <w:b/>
        </w:rPr>
        <w:t>E. 18</w:t>
      </w:r>
    </w:p>
    <w:p>
      <w:r>
        <w:t>/ 18 III.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